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0E2AD" w14:textId="4A44EF60" w:rsidR="00E10BC0" w:rsidRPr="00E10BC0" w:rsidRDefault="00E10BC0" w:rsidP="008F5C5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Philippe NUSS</w:t>
      </w:r>
    </w:p>
    <w:p w14:paraId="133A44D3" w14:textId="77777777" w:rsidR="00E10BC0" w:rsidRDefault="00E10BC0" w:rsidP="008F5C57">
      <w:pPr>
        <w:rPr>
          <w:b/>
          <w:bCs/>
        </w:rPr>
      </w:pPr>
    </w:p>
    <w:p w14:paraId="6A530EBD" w14:textId="77777777" w:rsidR="00E10BC0" w:rsidRDefault="00E10BC0" w:rsidP="008F5C57">
      <w:pPr>
        <w:rPr>
          <w:b/>
          <w:bCs/>
        </w:rPr>
      </w:pPr>
    </w:p>
    <w:p w14:paraId="6E19131D" w14:textId="3D6F1A5C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Situation professionnelle actuelle (coordonnées, responsabilités)</w:t>
      </w:r>
    </w:p>
    <w:p w14:paraId="775020EA" w14:textId="77777777" w:rsidR="00BA45CA" w:rsidRDefault="00E10BC0" w:rsidP="008F5C57">
      <w:r w:rsidRPr="00E10BC0">
        <w:t>Mathématicien, Professeur des Universités</w:t>
      </w:r>
      <w:r w:rsidRPr="00E10BC0">
        <w:br/>
        <w:t>Institut de Recherche Mathématique Avancée,</w:t>
      </w:r>
      <w:r w:rsidRPr="00E10BC0">
        <w:br/>
        <w:t>Université de Strasbourg et CNRS,</w:t>
      </w:r>
      <w:r w:rsidRPr="00E10BC0">
        <w:br/>
        <w:t>7 rue René-Descartes,</w:t>
      </w:r>
      <w:r w:rsidRPr="00E10BC0">
        <w:br/>
        <w:t>67084 Strasbourg Cedex, France.</w:t>
      </w:r>
      <w:r w:rsidRPr="00E10BC0">
        <w:br/>
        <w:t>tél. 03 68 85 0162</w:t>
      </w:r>
      <w:r w:rsidRPr="00E10BC0">
        <w:br/>
        <w:t>e-mail : philippe.nuss@math.unistra.fr</w:t>
      </w:r>
      <w:r w:rsidRPr="00E10BC0">
        <w:br/>
        <w:t>Président du jury des Masters scientifiques des Métiers de l’Enseignement, de l’Éducation et de la Formation, second degré</w:t>
      </w:r>
      <w:r w:rsidRPr="00E10BC0">
        <w:br/>
      </w:r>
    </w:p>
    <w:p w14:paraId="256265A7" w14:textId="76F3855C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Parcours professionnel</w:t>
      </w:r>
    </w:p>
    <w:p w14:paraId="4AE281D9" w14:textId="77777777" w:rsidR="00E10BC0" w:rsidRPr="00E10BC0" w:rsidRDefault="00E10BC0" w:rsidP="008F5C57">
      <w:r w:rsidRPr="00E10BC0">
        <w:t>1990 – 2007 : Maître de Conférences, Université de Strasbourg, Département de mathématiques</w:t>
      </w:r>
      <w:r w:rsidRPr="00E10BC0">
        <w:br/>
        <w:t>Depuis 2007 : Professeur des Universités, Université de Strasbourg, Département de mathématiques</w:t>
      </w:r>
    </w:p>
    <w:p w14:paraId="6E9C34ED" w14:textId="77777777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Travaux</w:t>
      </w:r>
    </w:p>
    <w:p w14:paraId="79A752CB" w14:textId="77777777" w:rsidR="00E10BC0" w:rsidRPr="00E10BC0" w:rsidRDefault="00E10BC0" w:rsidP="008F5C57">
      <w:r w:rsidRPr="00E10BC0">
        <w:t>Centres d’intérêts :</w:t>
      </w:r>
      <w:r w:rsidRPr="00E10BC0">
        <w:br/>
        <w:t>1) Mathématiques (algèbre et géométrie non commutatives, théorie de la descente, cohomologie non abélienne, K-théorie)</w:t>
      </w:r>
      <w:r w:rsidRPr="00E10BC0">
        <w:br/>
        <w:t>2) Histoire (histoire médiévale, hagiographie)</w:t>
      </w:r>
    </w:p>
    <w:p w14:paraId="232028C3" w14:textId="77777777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Diplômes</w:t>
      </w:r>
    </w:p>
    <w:p w14:paraId="23C893CA" w14:textId="77777777" w:rsidR="00E10BC0" w:rsidRPr="00E10BC0" w:rsidRDefault="00E10BC0" w:rsidP="008F5C57">
      <w:r w:rsidRPr="00E10BC0">
        <w:t>Doctorat de l’Université Louis Pasteur de Strasbourg, Domaine : Mathématiques, Soutenance : 6 février 1990. Titre de la thèse : Homologie des algèbres commutatives et presque commutatives.</w:t>
      </w:r>
      <w:r w:rsidRPr="00E10BC0">
        <w:br/>
        <w:t>Habilitation de l’Université Louis Pasteur de Strasbourg, Domaine : Mathématiques, Soutenance : 3 Juni 2005. Titre de l’habilitation : De quelques questions relatives à la cohomologie et à la descente en algèbre non commutative.</w:t>
      </w:r>
    </w:p>
    <w:p w14:paraId="60DA62C7" w14:textId="77777777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Distinctions</w:t>
      </w:r>
    </w:p>
    <w:p w14:paraId="350C678D" w14:textId="77777777" w:rsidR="00E10BC0" w:rsidRPr="00E10BC0" w:rsidRDefault="00E10BC0" w:rsidP="008F5C57">
      <w:r w:rsidRPr="00E10BC0">
        <w:t>Membre correspondant de l‘Académie de Stanislas, Nancy (depuis 2008)</w:t>
      </w:r>
      <w:r w:rsidRPr="00E10BC0">
        <w:br/>
        <w:t>Membre correspondant de l‘Académie des Sciences, Lettres et Arts d’Alsace (depuis 2009)</w:t>
      </w:r>
      <w:r w:rsidRPr="00E10BC0">
        <w:br/>
        <w:t>Membre du Comité de la Société d’Histoire de l’Église d’Alsace (depuis 2016)</w:t>
      </w:r>
    </w:p>
    <w:p w14:paraId="11384DD8" w14:textId="29DE4D27" w:rsidR="00BA45CA" w:rsidRDefault="00BA45CA" w:rsidP="008F5C57">
      <w:pPr>
        <w:spacing w:after="0" w:line="276" w:lineRule="auto"/>
        <w:rPr>
          <w:rFonts w:cs="Times New Roman"/>
          <w:color w:val="000000"/>
        </w:rPr>
      </w:pPr>
      <w:r w:rsidRPr="00BA45CA">
        <w:rPr>
          <w:rFonts w:cs="Times New Roman"/>
          <w:color w:val="000000"/>
        </w:rPr>
        <w:t xml:space="preserve">Chevalier de l’Ordre de Saint-Georges de la Maison de Habsbourg-Lorraine </w:t>
      </w:r>
      <w:r w:rsidR="00B04AB8">
        <w:rPr>
          <w:rFonts w:cs="Times New Roman"/>
          <w:color w:val="000000"/>
        </w:rPr>
        <w:t>(depuis 2018)</w:t>
      </w:r>
    </w:p>
    <w:p w14:paraId="25C75E82" w14:textId="4CAA4D52" w:rsidR="00B04AB8" w:rsidRDefault="00B04AB8" w:rsidP="008F5C57">
      <w:pPr>
        <w:spacing w:after="0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Commandeur de l’Ordre Équestre du Saint-Sépulcre de Jérusalem (depuis 2024)</w:t>
      </w:r>
    </w:p>
    <w:p w14:paraId="504297D3" w14:textId="77777777" w:rsidR="00B04AB8" w:rsidRPr="00BA45CA" w:rsidRDefault="00B04AB8" w:rsidP="008F5C57">
      <w:pPr>
        <w:spacing w:after="0" w:line="276" w:lineRule="auto"/>
        <w:rPr>
          <w:rFonts w:cs="Times New Roman"/>
          <w:color w:val="000000"/>
        </w:rPr>
      </w:pPr>
    </w:p>
    <w:p w14:paraId="7E11C858" w14:textId="77777777" w:rsidR="008F5C57" w:rsidRPr="008F5C57" w:rsidRDefault="008F5C57" w:rsidP="008F5C57">
      <w:pPr>
        <w:rPr>
          <w:b/>
          <w:bCs/>
          <w:color w:val="FF0000"/>
          <w:lang w:val="de-DE"/>
        </w:rPr>
      </w:pPr>
      <w:bookmarkStart w:id="0" w:name="_Hlk182073296"/>
      <w:proofErr w:type="spellStart"/>
      <w:r w:rsidRPr="008F5C57">
        <w:rPr>
          <w:b/>
          <w:bCs/>
          <w:color w:val="FF0000"/>
          <w:lang w:val="de-DE"/>
        </w:rPr>
        <w:t>Autres</w:t>
      </w:r>
      <w:proofErr w:type="spellEnd"/>
      <w:r w:rsidRPr="008F5C57">
        <w:rPr>
          <w:b/>
          <w:bCs/>
          <w:color w:val="FF0000"/>
          <w:lang w:val="de-DE"/>
        </w:rPr>
        <w:t xml:space="preserve"> </w:t>
      </w:r>
      <w:proofErr w:type="spellStart"/>
      <w:r w:rsidRPr="008F5C57">
        <w:rPr>
          <w:b/>
          <w:bCs/>
          <w:color w:val="FF0000"/>
          <w:lang w:val="de-DE"/>
        </w:rPr>
        <w:t>activités</w:t>
      </w:r>
      <w:proofErr w:type="spellEnd"/>
      <w:r w:rsidRPr="008F5C57">
        <w:rPr>
          <w:b/>
          <w:bCs/>
          <w:color w:val="FF0000"/>
          <w:lang w:val="de-DE"/>
        </w:rPr>
        <w:t xml:space="preserve"> </w:t>
      </w:r>
    </w:p>
    <w:bookmarkEnd w:id="0"/>
    <w:p w14:paraId="612BBD71" w14:textId="77777777" w:rsidR="007C00AE" w:rsidRDefault="008F5C57" w:rsidP="007C00AE">
      <w:pPr>
        <w:spacing w:line="276" w:lineRule="auto"/>
        <w:jc w:val="both"/>
        <w:rPr>
          <w:rFonts w:cs="Times New Roman"/>
          <w:color w:val="000000"/>
        </w:rPr>
      </w:pPr>
      <w:r w:rsidRPr="008F5C57">
        <w:rPr>
          <w:rFonts w:cs="Times New Roman"/>
          <w:color w:val="000000"/>
        </w:rPr>
        <w:lastRenderedPageBreak/>
        <w:t>Membre du Comité Scientifique de l’Académie de l’Ordre de Saint-Georges de la Maison de Habsbourg-Lorraine</w:t>
      </w:r>
    </w:p>
    <w:p w14:paraId="56834173" w14:textId="0DBFCBD7" w:rsidR="00E10BC0" w:rsidRDefault="008F5C57" w:rsidP="007C00AE">
      <w:pPr>
        <w:spacing w:line="276" w:lineRule="auto"/>
        <w:jc w:val="both"/>
        <w:rPr>
          <w:rFonts w:cs="Times New Roman"/>
          <w:color w:val="000000"/>
        </w:rPr>
      </w:pPr>
      <w:r w:rsidRPr="008F5C57">
        <w:rPr>
          <w:rFonts w:cs="Times New Roman"/>
          <w:color w:val="000000"/>
        </w:rPr>
        <w:t xml:space="preserve">Membre du Comité Scientifique de </w:t>
      </w:r>
      <w:proofErr w:type="gramStart"/>
      <w:r w:rsidRPr="008F5C57">
        <w:rPr>
          <w:rFonts w:cs="Times New Roman"/>
          <w:color w:val="000000"/>
        </w:rPr>
        <w:t>la</w:t>
      </w:r>
      <w:proofErr w:type="gramEnd"/>
      <w:r w:rsidRPr="008F5C57">
        <w:rPr>
          <w:rFonts w:cs="Times New Roman"/>
          <w:color w:val="000000"/>
        </w:rPr>
        <w:t xml:space="preserve"> </w:t>
      </w:r>
      <w:r w:rsidRPr="008F5C57">
        <w:rPr>
          <w:rFonts w:cs="Times New Roman"/>
          <w:i/>
          <w:iCs/>
          <w:color w:val="000000"/>
        </w:rPr>
        <w:t>Via Habsburg</w:t>
      </w:r>
      <w:r w:rsidRPr="008F5C57">
        <w:rPr>
          <w:rFonts w:cs="Times New Roman"/>
          <w:color w:val="000000"/>
        </w:rPr>
        <w:t>, un Itinéraire Culturel du Conseil de l’Europe</w:t>
      </w:r>
    </w:p>
    <w:p w14:paraId="11FBA112" w14:textId="77777777" w:rsidR="007C00AE" w:rsidRPr="007C00AE" w:rsidRDefault="007C00AE" w:rsidP="007C00AE">
      <w:pPr>
        <w:spacing w:line="276" w:lineRule="auto"/>
        <w:jc w:val="both"/>
        <w:rPr>
          <w:rFonts w:cs="Times New Roman"/>
          <w:color w:val="000000"/>
        </w:rPr>
      </w:pPr>
    </w:p>
    <w:p w14:paraId="12D20B72" w14:textId="116E7B77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Livres</w:t>
      </w:r>
    </w:p>
    <w:p w14:paraId="1F0DDEBF" w14:textId="77777777" w:rsidR="00E10BC0" w:rsidRPr="00E10BC0" w:rsidRDefault="00E10BC0" w:rsidP="008F5C57">
      <w:r w:rsidRPr="000D45B3">
        <w:rPr>
          <w:i/>
          <w:iCs/>
        </w:rPr>
        <w:t>Les Habsbourg en Alsace des origines à 1273 — Recherches pour une histoire de l’</w:t>
      </w:r>
      <w:proofErr w:type="spellStart"/>
      <w:r w:rsidRPr="000D45B3">
        <w:rPr>
          <w:i/>
          <w:iCs/>
        </w:rPr>
        <w:t>Alsatia</w:t>
      </w:r>
      <w:proofErr w:type="spellEnd"/>
      <w:r w:rsidRPr="000D45B3">
        <w:rPr>
          <w:i/>
          <w:iCs/>
        </w:rPr>
        <w:t xml:space="preserve"> </w:t>
      </w:r>
      <w:proofErr w:type="spellStart"/>
      <w:r w:rsidRPr="000D45B3">
        <w:rPr>
          <w:i/>
          <w:iCs/>
        </w:rPr>
        <w:t>Habsburgica</w:t>
      </w:r>
      <w:proofErr w:type="spellEnd"/>
      <w:r w:rsidRPr="00E10BC0">
        <w:t>, Préface de Georges BISCHOFF, Société d’Histoire du Sundgau, Altkirch (2002), 542 pages, ISBN: 2-908498-14-6</w:t>
      </w:r>
    </w:p>
    <w:p w14:paraId="7227000E" w14:textId="77777777" w:rsidR="00E10BC0" w:rsidRPr="00E10BC0" w:rsidRDefault="00E10BC0" w:rsidP="008F5C57">
      <w:r w:rsidRPr="000D45B3">
        <w:rPr>
          <w:i/>
          <w:iCs/>
        </w:rPr>
        <w:t>Les Regestes des comtes de Habsbourg en Alsace avant 1273</w:t>
      </w:r>
      <w:r w:rsidRPr="00E10BC0">
        <w:t>, Préface de Christian WILSDORF, Société d’Histoire du Sundgau (2005), 512 pages + carte, ISBN: 2-908498-17-0. Deuxième édition revue et complétée (2009), 514 pages + carte, ISBN: 2-908498-17-0</w:t>
      </w:r>
    </w:p>
    <w:p w14:paraId="5D39FB8A" w14:textId="6ABFEECC" w:rsidR="00E10BC0" w:rsidRPr="00E10BC0" w:rsidRDefault="00E10BC0" w:rsidP="008F5C57">
      <w:pPr>
        <w:spacing w:after="0"/>
      </w:pPr>
      <w:r w:rsidRPr="00E10BC0">
        <w:t>(C</w:t>
      </w:r>
      <w:r w:rsidR="00B04AB8">
        <w:t>omme c</w:t>
      </w:r>
      <w:r w:rsidRPr="00E10BC0">
        <w:t xml:space="preserve">ollaborateur de Christian WILSDORF) </w:t>
      </w:r>
      <w:r w:rsidRPr="000D45B3">
        <w:rPr>
          <w:i/>
          <w:iCs/>
        </w:rPr>
        <w:t xml:space="preserve">Le Terrier du comté de Ferrette (vers 1324 – vers 1340), un complément inédit au </w:t>
      </w:r>
      <w:proofErr w:type="spellStart"/>
      <w:r w:rsidRPr="000D45B3">
        <w:rPr>
          <w:i/>
          <w:iCs/>
        </w:rPr>
        <w:t>Habsburgischer</w:t>
      </w:r>
      <w:proofErr w:type="spellEnd"/>
      <w:r w:rsidRPr="000D45B3">
        <w:rPr>
          <w:i/>
          <w:iCs/>
        </w:rPr>
        <w:t xml:space="preserve"> </w:t>
      </w:r>
      <w:proofErr w:type="spellStart"/>
      <w:r w:rsidRPr="000D45B3">
        <w:rPr>
          <w:i/>
          <w:iCs/>
        </w:rPr>
        <w:t>Urbar</w:t>
      </w:r>
      <w:proofErr w:type="spellEnd"/>
      <w:r w:rsidRPr="00E10BC0">
        <w:t>, Société d’Histoire du Sundgau (2016), 96 pages + cartes, ISBN 2-908498-29-4.</w:t>
      </w:r>
    </w:p>
    <w:p w14:paraId="1473D10D" w14:textId="1BB585C3" w:rsidR="00E10BC0" w:rsidRDefault="00E10BC0" w:rsidP="008F5C57">
      <w:pPr>
        <w:ind w:left="360"/>
        <w:rPr>
          <w:lang w:val="de-DE"/>
        </w:rPr>
      </w:pPr>
      <w:r w:rsidRPr="00BA45CA">
        <w:rPr>
          <w:lang w:val="de-DE"/>
        </w:rPr>
        <w:t xml:space="preserve">Deutscher Text mit einer Übersetzung ins Französische und einer Einleitung auf Deutsch: Das Urbar der Grafschaft </w:t>
      </w:r>
      <w:proofErr w:type="spellStart"/>
      <w:r w:rsidRPr="00BA45CA">
        <w:rPr>
          <w:lang w:val="de-DE"/>
        </w:rPr>
        <w:t>Pfirt</w:t>
      </w:r>
      <w:proofErr w:type="spellEnd"/>
      <w:r w:rsidRPr="00BA45CA">
        <w:rPr>
          <w:lang w:val="de-DE"/>
        </w:rPr>
        <w:t xml:space="preserve"> (um 1324 – und um 1340), eine bisher unveröffentlichte Ergänzung zum ‘Habsburgischen Urbar’</w:t>
      </w:r>
    </w:p>
    <w:p w14:paraId="31D8A0AF" w14:textId="74F2C116" w:rsidR="00BA45CA" w:rsidRPr="00BA45CA" w:rsidRDefault="00BA45CA" w:rsidP="008F5C57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Hlk120474415"/>
      <w:r w:rsidRPr="000D45B3">
        <w:rPr>
          <w:rFonts w:asciiTheme="minorHAnsi" w:hAnsiTheme="minorHAnsi" w:cs="Times New Roman"/>
          <w:i/>
          <w:iCs/>
        </w:rPr>
        <w:t xml:space="preserve">Odile d’Alsace, sainte d’Europe – </w:t>
      </w:r>
      <w:r w:rsidRPr="000D45B3">
        <w:rPr>
          <w:rFonts w:asciiTheme="minorHAnsi" w:hAnsiTheme="minorHAnsi" w:cs="Times New Roman"/>
          <w:i/>
          <w:iCs/>
          <w:color w:val="auto"/>
          <w:shd w:val="clear" w:color="auto" w:fill="FFFFFF"/>
        </w:rPr>
        <w:t xml:space="preserve">La dimension européenne de sainte Odile de </w:t>
      </w:r>
      <w:proofErr w:type="spellStart"/>
      <w:r w:rsidRPr="000D45B3">
        <w:rPr>
          <w:rFonts w:asciiTheme="minorHAnsi" w:hAnsiTheme="minorHAnsi" w:cs="Times New Roman"/>
          <w:i/>
          <w:iCs/>
          <w:color w:val="auto"/>
          <w:shd w:val="clear" w:color="auto" w:fill="FFFFFF"/>
        </w:rPr>
        <w:t>Hohenbourg</w:t>
      </w:r>
      <w:proofErr w:type="spellEnd"/>
      <w:r w:rsidRPr="000D45B3">
        <w:rPr>
          <w:rFonts w:asciiTheme="minorHAnsi" w:hAnsiTheme="minorHAnsi" w:cs="Times New Roman"/>
          <w:i/>
          <w:iCs/>
          <w:color w:val="auto"/>
          <w:shd w:val="clear" w:color="auto" w:fill="FFFFFF"/>
        </w:rPr>
        <w:t xml:space="preserve"> à travers sa mémoire dans les sources liturgiques non alsaciennes</w:t>
      </w:r>
      <w:r w:rsidRPr="000D45B3">
        <w:rPr>
          <w:rFonts w:asciiTheme="minorHAnsi" w:hAnsiTheme="minorHAnsi" w:cs="Times New Roman"/>
          <w:i/>
          <w:iCs/>
          <w:color w:val="auto"/>
        </w:rPr>
        <w:t xml:space="preserve"> antérieures à l’an 1200</w:t>
      </w:r>
      <w:r w:rsidRPr="00BA45CA">
        <w:rPr>
          <w:rFonts w:asciiTheme="minorHAnsi" w:hAnsiTheme="minorHAnsi" w:cs="Times New Roman"/>
          <w:color w:val="auto"/>
        </w:rPr>
        <w:t>. Préface de Mgr Luc RAVEL, Archevêque de Strasbourg et Avant-Propos du Chanoine Bernard XIBAUT, Chancelier de l’archevêché de Strasbourg et Doyen du Chapitre, I.D. L’Édition (2021), 304 pages.</w:t>
      </w:r>
      <w:r>
        <w:rPr>
          <w:rFonts w:asciiTheme="minorHAnsi" w:hAnsiTheme="minorHAnsi" w:cs="Times New Roman"/>
          <w:color w:val="auto"/>
        </w:rPr>
        <w:t xml:space="preserve"> ISBN </w:t>
      </w:r>
      <w:r w:rsidRPr="00BA45CA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9782367012384</w:t>
      </w:r>
    </w:p>
    <w:bookmarkEnd w:id="1"/>
    <w:p w14:paraId="1DD93BD2" w14:textId="77777777" w:rsidR="00BA45CA" w:rsidRPr="00BA45CA" w:rsidRDefault="00BA45CA" w:rsidP="008F5C57">
      <w:pPr>
        <w:rPr>
          <w:sz w:val="22"/>
          <w:szCs w:val="22"/>
        </w:rPr>
      </w:pPr>
    </w:p>
    <w:p w14:paraId="3A279320" w14:textId="77777777" w:rsidR="00E10BC0" w:rsidRPr="00E10BC0" w:rsidRDefault="00E10BC0" w:rsidP="008F5C57">
      <w:pPr>
        <w:rPr>
          <w:b/>
          <w:bCs/>
          <w:color w:val="FF0000"/>
        </w:rPr>
      </w:pPr>
      <w:r w:rsidRPr="00E10BC0">
        <w:rPr>
          <w:b/>
          <w:bCs/>
          <w:color w:val="FF0000"/>
        </w:rPr>
        <w:t>Articles</w:t>
      </w:r>
    </w:p>
    <w:p w14:paraId="1B43FD55" w14:textId="77777777" w:rsidR="00E10BC0" w:rsidRPr="00E10BC0" w:rsidRDefault="00E10BC0" w:rsidP="008F5C57">
      <w:r w:rsidRPr="00E10BC0">
        <w:t>Articles principaux en mathématiques</w:t>
      </w:r>
    </w:p>
    <w:p w14:paraId="1A5A5D07" w14:textId="5D616CA0" w:rsidR="00E10BC0" w:rsidRPr="00E10BC0" w:rsidRDefault="000D45B3" w:rsidP="008F5C57">
      <w:r>
        <w:t>« </w:t>
      </w:r>
      <w:r w:rsidR="00E10BC0" w:rsidRPr="00E10BC0">
        <w:t xml:space="preserve">Non commutative </w:t>
      </w:r>
      <w:proofErr w:type="spellStart"/>
      <w:r w:rsidR="00E10BC0" w:rsidRPr="00E10BC0">
        <w:t>Descent</w:t>
      </w:r>
      <w:proofErr w:type="spellEnd"/>
      <w:r w:rsidR="00E10BC0" w:rsidRPr="00E10BC0">
        <w:t xml:space="preserve"> and Non-</w:t>
      </w:r>
      <w:proofErr w:type="spellStart"/>
      <w:r w:rsidR="00E10BC0" w:rsidRPr="00E10BC0">
        <w:t>Abelian</w:t>
      </w:r>
      <w:proofErr w:type="spellEnd"/>
      <w:r w:rsidR="00E10BC0" w:rsidRPr="00E10BC0">
        <w:t xml:space="preserve"> </w:t>
      </w:r>
      <w:proofErr w:type="spellStart"/>
      <w:r w:rsidR="00E10BC0" w:rsidRPr="00E10BC0">
        <w:t>Cohomology</w:t>
      </w:r>
      <w:proofErr w:type="spellEnd"/>
      <w:r>
        <w:t> »</w:t>
      </w:r>
      <w:r w:rsidR="00E10BC0" w:rsidRPr="00E10BC0">
        <w:br/>
      </w:r>
      <w:r w:rsidR="00E10BC0" w:rsidRPr="000D45B3">
        <w:rPr>
          <w:i/>
          <w:iCs/>
        </w:rPr>
        <w:t>K-Theory</w:t>
      </w:r>
      <w:r w:rsidR="00E10BC0" w:rsidRPr="00E10BC0">
        <w:t xml:space="preserve"> 12(1):23-74 (1997)</w:t>
      </w:r>
    </w:p>
    <w:p w14:paraId="17AFA365" w14:textId="0F6233E7" w:rsidR="00E10BC0" w:rsidRPr="00E10BC0" w:rsidRDefault="000D45B3" w:rsidP="008F5C57">
      <w:r>
        <w:t>« </w:t>
      </w:r>
      <w:r w:rsidR="00E10BC0" w:rsidRPr="00E10BC0">
        <w:t>Extensions galoisiennes non commutatives : normalité cohomologie non abélienne</w:t>
      </w:r>
      <w:r>
        <w:t> »</w:t>
      </w:r>
      <w:r w:rsidR="00E10BC0" w:rsidRPr="00E10BC0">
        <w:br/>
      </w:r>
      <w:r w:rsidR="00E10BC0" w:rsidRPr="000D45B3">
        <w:rPr>
          <w:i/>
          <w:iCs/>
        </w:rPr>
        <w:t xml:space="preserve">Communications in </w:t>
      </w:r>
      <w:proofErr w:type="spellStart"/>
      <w:r w:rsidR="00E10BC0" w:rsidRPr="000D45B3">
        <w:rPr>
          <w:i/>
          <w:iCs/>
        </w:rPr>
        <w:t>Algebra</w:t>
      </w:r>
      <w:proofErr w:type="spellEnd"/>
      <w:r w:rsidR="00E10BC0" w:rsidRPr="00E10BC0">
        <w:t xml:space="preserve"> 28, Issue 7 (2000)</w:t>
      </w:r>
    </w:p>
    <w:p w14:paraId="481C28F7" w14:textId="173F9B20" w:rsidR="00E10BC0" w:rsidRPr="00E10BC0" w:rsidRDefault="000D45B3" w:rsidP="008F5C57">
      <w:pPr>
        <w:rPr>
          <w:lang w:val="en-US"/>
        </w:rPr>
      </w:pPr>
      <w:r w:rsidRPr="000D45B3">
        <w:rPr>
          <w:lang w:val="en-US"/>
        </w:rPr>
        <w:t>«</w:t>
      </w:r>
      <w:r w:rsidR="00B04AB8">
        <w:rPr>
          <w:lang w:val="en-US"/>
        </w:rPr>
        <w:t xml:space="preserve"> </w:t>
      </w:r>
      <w:r w:rsidR="00E10BC0" w:rsidRPr="00E10BC0">
        <w:rPr>
          <w:lang w:val="en-US"/>
        </w:rPr>
        <w:t>Galois-</w:t>
      </w:r>
      <w:proofErr w:type="spellStart"/>
      <w:r w:rsidR="00E10BC0" w:rsidRPr="00E10BC0">
        <w:rPr>
          <w:lang w:val="en-US"/>
        </w:rPr>
        <w:t>Azumaya</w:t>
      </w:r>
      <w:proofErr w:type="spellEnd"/>
      <w:r w:rsidR="00E10BC0" w:rsidRPr="00E10BC0">
        <w:rPr>
          <w:lang w:val="en-US"/>
        </w:rPr>
        <w:t xml:space="preserve"> extensions and the </w:t>
      </w:r>
      <w:proofErr w:type="spellStart"/>
      <w:r w:rsidR="00E10BC0" w:rsidRPr="00E10BC0">
        <w:rPr>
          <w:lang w:val="en-US"/>
        </w:rPr>
        <w:t>Brauer</w:t>
      </w:r>
      <w:proofErr w:type="spellEnd"/>
      <w:r w:rsidR="00E10BC0" w:rsidRPr="00E10BC0">
        <w:rPr>
          <w:lang w:val="en-US"/>
        </w:rPr>
        <w:t>-Galois group of a commutative ring</w:t>
      </w:r>
      <w:r>
        <w:rPr>
          <w:lang w:val="en-US"/>
        </w:rPr>
        <w:t xml:space="preserve"> </w:t>
      </w:r>
      <w:r w:rsidRPr="000D45B3">
        <w:rPr>
          <w:lang w:val="en-US"/>
        </w:rPr>
        <w:t>»</w:t>
      </w:r>
      <w:r w:rsidR="00E10BC0" w:rsidRPr="00E10BC0">
        <w:rPr>
          <w:lang w:val="en-US"/>
        </w:rPr>
        <w:br/>
      </w:r>
      <w:r w:rsidR="00E10BC0" w:rsidRPr="000D45B3">
        <w:rPr>
          <w:i/>
          <w:iCs/>
          <w:lang w:val="en-US"/>
        </w:rPr>
        <w:t>Bull. Belg. Math. Soc. Simon Stevin</w:t>
      </w:r>
      <w:r w:rsidR="00E10BC0" w:rsidRPr="00E10BC0">
        <w:rPr>
          <w:lang w:val="en-US"/>
        </w:rPr>
        <w:t xml:space="preserve"> 13, N</w:t>
      </w:r>
      <w:r w:rsidR="00E10BC0" w:rsidRPr="00B04AB8">
        <w:rPr>
          <w:vertAlign w:val="superscript"/>
          <w:lang w:val="en-US"/>
        </w:rPr>
        <w:t>o</w:t>
      </w:r>
      <w:r w:rsidR="00E10BC0" w:rsidRPr="00E10BC0">
        <w:rPr>
          <w:lang w:val="en-US"/>
        </w:rPr>
        <w:t xml:space="preserve"> 2, 247-270 (2006).</w:t>
      </w:r>
    </w:p>
    <w:p w14:paraId="7B5C6C4F" w14:textId="1CC05582" w:rsidR="00E10BC0" w:rsidRPr="00E10BC0" w:rsidRDefault="000D45B3" w:rsidP="008F5C57">
      <w:pPr>
        <w:rPr>
          <w:lang w:val="en-US"/>
        </w:rPr>
      </w:pPr>
      <w:r w:rsidRPr="000D45B3">
        <w:rPr>
          <w:lang w:val="en-US"/>
        </w:rPr>
        <w:t>«</w:t>
      </w:r>
      <w:r w:rsidR="00B04AB8">
        <w:rPr>
          <w:lang w:val="en-US"/>
        </w:rPr>
        <w:t xml:space="preserve"> </w:t>
      </w:r>
      <w:r w:rsidR="00E10BC0" w:rsidRPr="00E10BC0">
        <w:rPr>
          <w:lang w:val="en-US"/>
        </w:rPr>
        <w:t xml:space="preserve">Non-Abelian </w:t>
      </w:r>
      <w:proofErr w:type="spellStart"/>
      <w:r w:rsidR="00E10BC0" w:rsidRPr="00E10BC0">
        <w:rPr>
          <w:lang w:val="en-US"/>
        </w:rPr>
        <w:t>Hopf</w:t>
      </w:r>
      <w:proofErr w:type="spellEnd"/>
      <w:r w:rsidR="00E10BC0" w:rsidRPr="00E10BC0">
        <w:rPr>
          <w:lang w:val="en-US"/>
        </w:rPr>
        <w:t xml:space="preserve"> </w:t>
      </w:r>
      <w:proofErr w:type="spellStart"/>
      <w:r w:rsidR="00E10BC0" w:rsidRPr="00E10BC0">
        <w:rPr>
          <w:lang w:val="en-US"/>
        </w:rPr>
        <w:t>cohomology</w:t>
      </w:r>
      <w:proofErr w:type="spellEnd"/>
      <w:r>
        <w:rPr>
          <w:lang w:val="en-US"/>
        </w:rPr>
        <w:t xml:space="preserve"> </w:t>
      </w:r>
      <w:r w:rsidRPr="000D45B3">
        <w:rPr>
          <w:lang w:val="en-US"/>
        </w:rPr>
        <w:t>»</w:t>
      </w:r>
      <w:r w:rsidR="00E10BC0" w:rsidRPr="00E10BC0">
        <w:rPr>
          <w:lang w:val="en-US"/>
        </w:rPr>
        <w:t xml:space="preserve"> (avec Marc </w:t>
      </w:r>
      <w:proofErr w:type="spellStart"/>
      <w:r w:rsidR="00E10BC0" w:rsidRPr="00E10BC0">
        <w:rPr>
          <w:lang w:val="en-US"/>
        </w:rPr>
        <w:t>Wambst</w:t>
      </w:r>
      <w:proofErr w:type="spellEnd"/>
      <w:r w:rsidR="00E10BC0" w:rsidRPr="00E10BC0">
        <w:rPr>
          <w:lang w:val="en-US"/>
        </w:rPr>
        <w:t>)</w:t>
      </w:r>
      <w:r w:rsidR="00E10BC0" w:rsidRPr="00E10BC0">
        <w:rPr>
          <w:lang w:val="en-US"/>
        </w:rPr>
        <w:br/>
      </w:r>
      <w:r w:rsidR="00E10BC0" w:rsidRPr="000D45B3">
        <w:rPr>
          <w:i/>
          <w:iCs/>
          <w:lang w:val="en-US"/>
        </w:rPr>
        <w:t>J. Algebra</w:t>
      </w:r>
      <w:r w:rsidR="00E10BC0" w:rsidRPr="00E10BC0">
        <w:rPr>
          <w:lang w:val="en-US"/>
        </w:rPr>
        <w:t xml:space="preserve"> 312, N</w:t>
      </w:r>
      <w:r w:rsidR="00E10BC0" w:rsidRPr="00B04AB8">
        <w:rPr>
          <w:vertAlign w:val="superscript"/>
          <w:lang w:val="en-US"/>
        </w:rPr>
        <w:t>o</w:t>
      </w:r>
      <w:r w:rsidR="00E10BC0" w:rsidRPr="00E10BC0">
        <w:rPr>
          <w:lang w:val="en-US"/>
        </w:rPr>
        <w:t>. 2, 733-754 (2007).</w:t>
      </w:r>
    </w:p>
    <w:p w14:paraId="23B41813" w14:textId="600E6D4C" w:rsidR="00E10BC0" w:rsidRPr="00E10BC0" w:rsidRDefault="000D45B3" w:rsidP="008F5C57">
      <w:pPr>
        <w:rPr>
          <w:lang w:val="en-US"/>
        </w:rPr>
      </w:pPr>
      <w:r w:rsidRPr="000D45B3">
        <w:rPr>
          <w:lang w:val="en-US"/>
        </w:rPr>
        <w:t>«</w:t>
      </w:r>
      <w:r w:rsidR="00B04AB8">
        <w:rPr>
          <w:lang w:val="en-US"/>
        </w:rPr>
        <w:t xml:space="preserve"> </w:t>
      </w:r>
      <w:r w:rsidR="00E10BC0" w:rsidRPr="00E10BC0">
        <w:rPr>
          <w:lang w:val="en-US"/>
        </w:rPr>
        <w:t xml:space="preserve">Non-Abelian </w:t>
      </w:r>
      <w:proofErr w:type="spellStart"/>
      <w:r w:rsidR="00E10BC0" w:rsidRPr="00E10BC0">
        <w:rPr>
          <w:lang w:val="en-US"/>
        </w:rPr>
        <w:t>Hopf</w:t>
      </w:r>
      <w:proofErr w:type="spellEnd"/>
      <w:r w:rsidR="00E10BC0" w:rsidRPr="00E10BC0">
        <w:rPr>
          <w:lang w:val="en-US"/>
        </w:rPr>
        <w:t xml:space="preserve"> </w:t>
      </w:r>
      <w:proofErr w:type="spellStart"/>
      <w:r w:rsidR="00E10BC0" w:rsidRPr="00E10BC0">
        <w:rPr>
          <w:lang w:val="en-US"/>
        </w:rPr>
        <w:t>cohomology</w:t>
      </w:r>
      <w:proofErr w:type="spellEnd"/>
      <w:r w:rsidR="00E10BC0" w:rsidRPr="00E10BC0">
        <w:rPr>
          <w:lang w:val="en-US"/>
        </w:rPr>
        <w:t>. II: The general case</w:t>
      </w:r>
      <w:r>
        <w:rPr>
          <w:lang w:val="en-US"/>
        </w:rPr>
        <w:t xml:space="preserve"> </w:t>
      </w:r>
      <w:r w:rsidRPr="000D45B3">
        <w:rPr>
          <w:lang w:val="en-US"/>
        </w:rPr>
        <w:t>»</w:t>
      </w:r>
      <w:r w:rsidR="00E10BC0" w:rsidRPr="00E10BC0">
        <w:rPr>
          <w:lang w:val="en-US"/>
        </w:rPr>
        <w:t xml:space="preserve"> (avec Marc </w:t>
      </w:r>
      <w:proofErr w:type="spellStart"/>
      <w:r w:rsidR="00E10BC0" w:rsidRPr="00E10BC0">
        <w:rPr>
          <w:lang w:val="en-US"/>
        </w:rPr>
        <w:t>Wambst</w:t>
      </w:r>
      <w:proofErr w:type="spellEnd"/>
      <w:r w:rsidR="00E10BC0" w:rsidRPr="00E10BC0">
        <w:rPr>
          <w:lang w:val="en-US"/>
        </w:rPr>
        <w:t>)</w:t>
      </w:r>
      <w:r w:rsidR="00E10BC0" w:rsidRPr="00E10BC0">
        <w:rPr>
          <w:lang w:val="en-US"/>
        </w:rPr>
        <w:br/>
      </w:r>
      <w:r w:rsidR="00E10BC0" w:rsidRPr="000D45B3">
        <w:rPr>
          <w:i/>
          <w:iCs/>
          <w:lang w:val="en-US"/>
        </w:rPr>
        <w:t>J. Algebra</w:t>
      </w:r>
      <w:r w:rsidR="00E10BC0" w:rsidRPr="00E10BC0">
        <w:rPr>
          <w:lang w:val="en-US"/>
        </w:rPr>
        <w:t xml:space="preserve"> 319, N</w:t>
      </w:r>
      <w:r w:rsidR="00E10BC0" w:rsidRPr="00B04AB8">
        <w:rPr>
          <w:vertAlign w:val="superscript"/>
          <w:lang w:val="en-US"/>
        </w:rPr>
        <w:t>o</w:t>
      </w:r>
      <w:r w:rsidR="00E10BC0" w:rsidRPr="00E10BC0">
        <w:rPr>
          <w:lang w:val="en-US"/>
        </w:rPr>
        <w:t>. 11, 4621-4645 (2008).</w:t>
      </w:r>
    </w:p>
    <w:p w14:paraId="4F0C50AA" w14:textId="2483DE05" w:rsidR="00E10BC0" w:rsidRPr="00E10BC0" w:rsidRDefault="000D45B3" w:rsidP="008F5C57">
      <w:r w:rsidRPr="000D45B3">
        <w:rPr>
          <w:lang w:val="en-US"/>
        </w:rPr>
        <w:t>«</w:t>
      </w:r>
      <w:r w:rsidR="00B04AB8">
        <w:rPr>
          <w:lang w:val="en-US"/>
        </w:rPr>
        <w:t xml:space="preserve"> </w:t>
      </w:r>
      <w:r w:rsidR="00E10BC0" w:rsidRPr="00E10BC0">
        <w:rPr>
          <w:lang w:val="en-US"/>
        </w:rPr>
        <w:t xml:space="preserve">Non-Abelian </w:t>
      </w:r>
      <w:proofErr w:type="spellStart"/>
      <w:r w:rsidR="00E10BC0" w:rsidRPr="00E10BC0">
        <w:rPr>
          <w:lang w:val="en-US"/>
        </w:rPr>
        <w:t>Hopf</w:t>
      </w:r>
      <w:proofErr w:type="spellEnd"/>
      <w:r w:rsidR="00E10BC0" w:rsidRPr="00E10BC0">
        <w:rPr>
          <w:lang w:val="en-US"/>
        </w:rPr>
        <w:t xml:space="preserve"> </w:t>
      </w:r>
      <w:proofErr w:type="spellStart"/>
      <w:r w:rsidR="00E10BC0" w:rsidRPr="00E10BC0">
        <w:rPr>
          <w:lang w:val="en-US"/>
        </w:rPr>
        <w:t>cohomology</w:t>
      </w:r>
      <w:proofErr w:type="spellEnd"/>
      <w:r w:rsidR="00E10BC0" w:rsidRPr="00E10BC0">
        <w:rPr>
          <w:lang w:val="en-US"/>
        </w:rPr>
        <w:t xml:space="preserve"> of Radford products</w:t>
      </w:r>
      <w:r>
        <w:rPr>
          <w:lang w:val="en-US"/>
        </w:rPr>
        <w:t xml:space="preserve"> </w:t>
      </w:r>
      <w:r w:rsidRPr="000D45B3">
        <w:rPr>
          <w:lang w:val="en-US"/>
        </w:rPr>
        <w:t>»</w:t>
      </w:r>
      <w:r w:rsidR="00E10BC0" w:rsidRPr="00E10BC0">
        <w:rPr>
          <w:lang w:val="en-US"/>
        </w:rPr>
        <w:t xml:space="preserve"> (avec Marc </w:t>
      </w:r>
      <w:proofErr w:type="spellStart"/>
      <w:r w:rsidR="00E10BC0" w:rsidRPr="00E10BC0">
        <w:rPr>
          <w:lang w:val="en-US"/>
        </w:rPr>
        <w:t>Wambst</w:t>
      </w:r>
      <w:proofErr w:type="spellEnd"/>
      <w:r w:rsidR="00E10BC0" w:rsidRPr="00E10BC0">
        <w:rPr>
          <w:lang w:val="en-US"/>
        </w:rPr>
        <w:t>)</w:t>
      </w:r>
      <w:r w:rsidR="00E10BC0" w:rsidRPr="00E10BC0">
        <w:rPr>
          <w:lang w:val="en-US"/>
        </w:rPr>
        <w:br/>
      </w:r>
      <w:proofErr w:type="spellStart"/>
      <w:r w:rsidR="00E10BC0" w:rsidRPr="000D45B3">
        <w:rPr>
          <w:i/>
          <w:iCs/>
          <w:lang w:val="en-US"/>
        </w:rPr>
        <w:t>Algebr</w:t>
      </w:r>
      <w:proofErr w:type="spellEnd"/>
      <w:r w:rsidR="00E10BC0" w:rsidRPr="000D45B3">
        <w:rPr>
          <w:i/>
          <w:iCs/>
          <w:lang w:val="en-US"/>
        </w:rPr>
        <w:t xml:space="preserve">. </w:t>
      </w:r>
      <w:proofErr w:type="spellStart"/>
      <w:r w:rsidR="00E10BC0" w:rsidRPr="000D45B3">
        <w:rPr>
          <w:i/>
          <w:iCs/>
        </w:rPr>
        <w:t>Represent</w:t>
      </w:r>
      <w:proofErr w:type="spellEnd"/>
      <w:r w:rsidR="00E10BC0" w:rsidRPr="000D45B3">
        <w:rPr>
          <w:i/>
          <w:iCs/>
        </w:rPr>
        <w:t>. Theory</w:t>
      </w:r>
      <w:r w:rsidR="00E10BC0" w:rsidRPr="00E10BC0">
        <w:t xml:space="preserve"> 14, N</w:t>
      </w:r>
      <w:r w:rsidR="00E10BC0" w:rsidRPr="00B04AB8">
        <w:rPr>
          <w:vertAlign w:val="superscript"/>
        </w:rPr>
        <w:t>o</w:t>
      </w:r>
      <w:r w:rsidR="00E10BC0" w:rsidRPr="00E10BC0">
        <w:t>. 5, 977-1002 (2011)</w:t>
      </w:r>
    </w:p>
    <w:p w14:paraId="1113FE6D" w14:textId="75340C21" w:rsidR="00B04AB8" w:rsidRDefault="00B04AB8" w:rsidP="008F5C57">
      <w:pPr>
        <w:rPr>
          <w:b/>
          <w:bCs/>
          <w:color w:val="FF0000"/>
        </w:rPr>
      </w:pPr>
    </w:p>
    <w:p w14:paraId="68C2499E" w14:textId="008F2784" w:rsidR="004E5BC6" w:rsidRDefault="004E5BC6" w:rsidP="008F5C57">
      <w:pPr>
        <w:rPr>
          <w:b/>
          <w:bCs/>
          <w:color w:val="FF0000"/>
        </w:rPr>
      </w:pPr>
    </w:p>
    <w:p w14:paraId="0EEBA2C3" w14:textId="77777777" w:rsidR="004E5BC6" w:rsidRDefault="004E5BC6" w:rsidP="008F5C57">
      <w:pPr>
        <w:rPr>
          <w:b/>
          <w:bCs/>
          <w:color w:val="FF0000"/>
        </w:rPr>
      </w:pPr>
    </w:p>
    <w:p w14:paraId="267F79B4" w14:textId="165D3702" w:rsidR="00E10BC0" w:rsidRPr="00E10BC0" w:rsidRDefault="00E10BC0" w:rsidP="008F5C57">
      <w:pPr>
        <w:rPr>
          <w:b/>
          <w:bCs/>
          <w:color w:val="FF0000"/>
        </w:rPr>
      </w:pPr>
      <w:r w:rsidRPr="00B04AB8">
        <w:rPr>
          <w:b/>
          <w:bCs/>
          <w:color w:val="FF0000"/>
        </w:rPr>
        <w:t xml:space="preserve">Articles </w:t>
      </w:r>
      <w:r w:rsidRPr="00E10BC0">
        <w:rPr>
          <w:b/>
          <w:bCs/>
          <w:color w:val="FF0000"/>
        </w:rPr>
        <w:t>en histoire</w:t>
      </w:r>
    </w:p>
    <w:p w14:paraId="036CB01B" w14:textId="48E0E73C" w:rsidR="00E10BC0" w:rsidRPr="00E10BC0" w:rsidRDefault="000D45B3" w:rsidP="008F5C57">
      <w:r>
        <w:t>« </w:t>
      </w:r>
      <w:r w:rsidR="00E10BC0" w:rsidRPr="00E10BC0">
        <w:t>L’Alsace et l’Europe Centrale – Esquisse d’une histoire commune</w:t>
      </w:r>
      <w:r>
        <w:t> »</w:t>
      </w:r>
      <w:r w:rsidR="00E10BC0" w:rsidRPr="00E10BC0">
        <w:t xml:space="preserve">, in </w:t>
      </w:r>
      <w:r w:rsidR="00E10BC0" w:rsidRPr="000D45B3">
        <w:rPr>
          <w:i/>
          <w:iCs/>
        </w:rPr>
        <w:t>Pour une Europe européenne – Une avant-garde pour sortir de l’impasse</w:t>
      </w:r>
      <w:r w:rsidR="00E10BC0" w:rsidRPr="00E10BC0">
        <w:t>, sous la direction de Henri de GROSSOUVRE, préface de François LOOS, Editions Xenia, Vevey (2007), 150 - 165, ISBN: 978-2-88892-037-3</w:t>
      </w:r>
    </w:p>
    <w:p w14:paraId="7BACBABF" w14:textId="544BC164" w:rsidR="00E10BC0" w:rsidRPr="00E10BC0" w:rsidRDefault="000D45B3" w:rsidP="008F5C57">
      <w:r>
        <w:t>« </w:t>
      </w:r>
      <w:r w:rsidR="00E10BC0" w:rsidRPr="00E10BC0">
        <w:t>Un monde, une histoire – L’Alsace et l’Europe Centrale</w:t>
      </w:r>
      <w:r>
        <w:t> »</w:t>
      </w:r>
      <w:r w:rsidR="00E10BC0" w:rsidRPr="00E10BC0">
        <w:t xml:space="preserve">, </w:t>
      </w:r>
      <w:r w:rsidR="00E10BC0" w:rsidRPr="000D45B3">
        <w:rPr>
          <w:i/>
          <w:iCs/>
        </w:rPr>
        <w:t>Revue des Deux Mondes</w:t>
      </w:r>
      <w:r w:rsidR="00E10BC0" w:rsidRPr="00E10BC0">
        <w:t>, décembre 2007, Paris (2007), 74 - 81, ISBN: 978-2-9083-1251-5</w:t>
      </w:r>
    </w:p>
    <w:p w14:paraId="2C852168" w14:textId="7C10B791" w:rsidR="00E10BC0" w:rsidRPr="000D45B3" w:rsidRDefault="000D45B3" w:rsidP="008F5C57">
      <w:r>
        <w:t>« </w:t>
      </w:r>
      <w:r w:rsidR="00E10BC0" w:rsidRPr="00E10BC0">
        <w:t>Aux sources de l’</w:t>
      </w:r>
      <w:proofErr w:type="spellStart"/>
      <w:r w:rsidR="00E10BC0" w:rsidRPr="00E10BC0">
        <w:t>Eurodistrict</w:t>
      </w:r>
      <w:proofErr w:type="spellEnd"/>
      <w:r w:rsidR="00E10BC0" w:rsidRPr="00E10BC0">
        <w:t xml:space="preserve"> : l’évêché médiéval de Strasbourg</w:t>
      </w:r>
      <w:r>
        <w:t> »</w:t>
      </w:r>
      <w:r w:rsidR="00E10BC0" w:rsidRPr="00E10BC0">
        <w:t xml:space="preserve">, in </w:t>
      </w:r>
      <w:proofErr w:type="spellStart"/>
      <w:r w:rsidR="00E10BC0" w:rsidRPr="000D45B3">
        <w:rPr>
          <w:i/>
          <w:iCs/>
        </w:rPr>
        <w:t>Eurodistrict</w:t>
      </w:r>
      <w:proofErr w:type="spellEnd"/>
      <w:r w:rsidR="00E10BC0" w:rsidRPr="000D45B3">
        <w:rPr>
          <w:i/>
          <w:iCs/>
        </w:rPr>
        <w:t xml:space="preserve"> Strasbourg-</w:t>
      </w:r>
      <w:proofErr w:type="spellStart"/>
      <w:r w:rsidR="00E10BC0" w:rsidRPr="000D45B3">
        <w:rPr>
          <w:i/>
          <w:iCs/>
        </w:rPr>
        <w:t>Ortenau</w:t>
      </w:r>
      <w:proofErr w:type="spellEnd"/>
      <w:r w:rsidR="00E10BC0" w:rsidRPr="000D45B3">
        <w:rPr>
          <w:i/>
          <w:iCs/>
        </w:rPr>
        <w:t xml:space="preserve"> : la construction de l’Europe réelle</w:t>
      </w:r>
      <w:r w:rsidR="00E10BC0" w:rsidRPr="00E10BC0">
        <w:t xml:space="preserve">, sous la direction de Henri de GROSSOUVRE et Eric MAULIN, Préface de Roland RIES, </w:t>
      </w:r>
      <w:proofErr w:type="spellStart"/>
      <w:r w:rsidR="00E10BC0" w:rsidRPr="00E10BC0">
        <w:t>Editions</w:t>
      </w:r>
      <w:proofErr w:type="spellEnd"/>
      <w:r w:rsidR="00E10BC0" w:rsidRPr="00E10BC0">
        <w:t xml:space="preserve"> </w:t>
      </w:r>
      <w:proofErr w:type="spellStart"/>
      <w:r w:rsidR="00E10BC0" w:rsidRPr="00E10BC0">
        <w:t>Salde</w:t>
      </w:r>
      <w:proofErr w:type="spellEnd"/>
      <w:r w:rsidR="00E10BC0" w:rsidRPr="00E10BC0">
        <w:t xml:space="preserve">, Strasbourg, et </w:t>
      </w:r>
      <w:proofErr w:type="spellStart"/>
      <w:r w:rsidR="00E10BC0" w:rsidRPr="00E10BC0">
        <w:t>Editions</w:t>
      </w:r>
      <w:proofErr w:type="spellEnd"/>
      <w:r w:rsidR="00E10BC0" w:rsidRPr="00E10BC0">
        <w:t xml:space="preserve"> Xenia, Vevey (2009), 71 – 77, ISBN : 978-2-88892-</w:t>
      </w:r>
      <w:r w:rsidR="00E10BC0" w:rsidRPr="000D45B3">
        <w:t>088-5</w:t>
      </w:r>
    </w:p>
    <w:p w14:paraId="3E1E3DF9" w14:textId="76E0B109" w:rsidR="000D45B3" w:rsidRPr="000D45B3" w:rsidRDefault="000D45B3" w:rsidP="008F5C57">
      <w:pPr>
        <w:pStyle w:val="Default"/>
        <w:spacing w:after="240" w:line="276" w:lineRule="auto"/>
        <w:rPr>
          <w:rFonts w:asciiTheme="minorHAnsi" w:hAnsiTheme="minorHAnsi" w:cs="Times New Roman"/>
        </w:rPr>
      </w:pPr>
      <w:r w:rsidRPr="000D45B3">
        <w:rPr>
          <w:rFonts w:asciiTheme="minorHAnsi" w:hAnsiTheme="minorHAnsi" w:cs="Times New Roman"/>
        </w:rPr>
        <w:t xml:space="preserve">« Des Ducs d’Alsace aux Archiducs d’Autriche », </w:t>
      </w:r>
      <w:r w:rsidRPr="000D45B3">
        <w:rPr>
          <w:rFonts w:asciiTheme="minorHAnsi" w:hAnsiTheme="minorHAnsi" w:cs="Times New Roman"/>
          <w:i/>
          <w:iCs/>
        </w:rPr>
        <w:t xml:space="preserve">Saisons d’Alsace, </w:t>
      </w:r>
      <w:r w:rsidRPr="000D45B3">
        <w:rPr>
          <w:rFonts w:asciiTheme="minorHAnsi" w:hAnsiTheme="minorHAnsi" w:cs="Times New Roman"/>
        </w:rPr>
        <w:t>Novembre 2019, 20 – 27</w:t>
      </w:r>
    </w:p>
    <w:p w14:paraId="4FE847D5" w14:textId="4D2881AD" w:rsidR="000D45B3" w:rsidRDefault="000D45B3" w:rsidP="008F5C57">
      <w:pPr>
        <w:suppressAutoHyphens/>
        <w:spacing w:line="276" w:lineRule="auto"/>
        <w:rPr>
          <w:rFonts w:cs="Times New Roman"/>
        </w:rPr>
      </w:pPr>
      <w:r>
        <w:rPr>
          <w:rFonts w:eastAsia="Times New Roman"/>
          <w:iCs/>
        </w:rPr>
        <w:t xml:space="preserve"> « </w:t>
      </w:r>
      <w:proofErr w:type="spellStart"/>
      <w:r w:rsidRPr="000D45B3">
        <w:rPr>
          <w:rFonts w:eastAsia="Times New Roman"/>
          <w:i/>
        </w:rPr>
        <w:t>Ædificatoris</w:t>
      </w:r>
      <w:proofErr w:type="spellEnd"/>
      <w:r w:rsidRPr="000D45B3">
        <w:rPr>
          <w:rFonts w:eastAsia="Times New Roman"/>
          <w:i/>
        </w:rPr>
        <w:t xml:space="preserve"> </w:t>
      </w:r>
      <w:proofErr w:type="spellStart"/>
      <w:r w:rsidRPr="000D45B3">
        <w:rPr>
          <w:rFonts w:eastAsia="Times New Roman"/>
          <w:i/>
        </w:rPr>
        <w:t>elogio</w:t>
      </w:r>
      <w:proofErr w:type="spellEnd"/>
      <w:r w:rsidRPr="000D45B3">
        <w:rPr>
          <w:rFonts w:eastAsia="Times New Roman"/>
          <w:i/>
        </w:rPr>
        <w:t xml:space="preserve"> </w:t>
      </w:r>
      <w:proofErr w:type="spellStart"/>
      <w:r w:rsidRPr="000D45B3">
        <w:rPr>
          <w:rFonts w:eastAsia="Times New Roman"/>
          <w:i/>
        </w:rPr>
        <w:t>dignus</w:t>
      </w:r>
      <w:proofErr w:type="spellEnd"/>
      <w:r w:rsidRPr="000D45B3">
        <w:rPr>
          <w:rFonts w:eastAsia="Times New Roman"/>
        </w:rPr>
        <w:t xml:space="preserve"> </w:t>
      </w:r>
      <w:r w:rsidRPr="000D45B3">
        <w:rPr>
          <w:rFonts w:cs="Times New Roman"/>
        </w:rPr>
        <w:t xml:space="preserve">– </w:t>
      </w:r>
      <w:r w:rsidRPr="000D45B3">
        <w:rPr>
          <w:rFonts w:eastAsia="Times New Roman"/>
        </w:rPr>
        <w:t>L’évêque Werner, bâtisseur de son temps</w:t>
      </w:r>
      <w:r>
        <w:rPr>
          <w:rFonts w:eastAsia="Times New Roman"/>
        </w:rPr>
        <w:t> »</w:t>
      </w:r>
      <w:r w:rsidRPr="000D45B3">
        <w:rPr>
          <w:rFonts w:cs="Times New Roman"/>
          <w:i/>
          <w:iCs/>
        </w:rPr>
        <w:t xml:space="preserve">, </w:t>
      </w:r>
      <w:r w:rsidRPr="000D45B3">
        <w:rPr>
          <w:rFonts w:cs="Times New Roman"/>
        </w:rPr>
        <w:t>in</w:t>
      </w:r>
      <w:r w:rsidRPr="000D45B3">
        <w:rPr>
          <w:rFonts w:cs="Times New Roman"/>
          <w:i/>
          <w:iCs/>
        </w:rPr>
        <w:t xml:space="preserve"> L’évêque Werner de Strasbourg et la cathédrale ottonienne – Actes du colloque international à l’occasion du millénaire de la cathédrale de Strasbourg, Strasbourg, 18 – 20 mars 2015, </w:t>
      </w:r>
      <w:r w:rsidRPr="000D45B3">
        <w:rPr>
          <w:rFonts w:cs="Times New Roman"/>
        </w:rPr>
        <w:t xml:space="preserve">Textes réunis par Marc Carel SCHURR et Jean-Michel SPIESER, </w:t>
      </w:r>
      <w:r w:rsidRPr="000D45B3">
        <w:rPr>
          <w:rFonts w:cs="Times New Roman"/>
          <w:i/>
          <w:iCs/>
        </w:rPr>
        <w:t xml:space="preserve">Bulletin de la Cathédrale de Strasbourg XXXV, </w:t>
      </w:r>
      <w:r w:rsidRPr="000D45B3">
        <w:rPr>
          <w:rFonts w:cs="Times New Roman"/>
        </w:rPr>
        <w:t>Strasbourg (2022), 63 – 69</w:t>
      </w:r>
    </w:p>
    <w:p w14:paraId="53A37788" w14:textId="2E364040" w:rsidR="000D45B3" w:rsidRPr="007E193A" w:rsidRDefault="000D45B3" w:rsidP="008F5C57">
      <w:pPr>
        <w:pStyle w:val="Default"/>
        <w:spacing w:after="240" w:line="276" w:lineRule="auto"/>
        <w:rPr>
          <w:rFonts w:asciiTheme="minorHAnsi" w:hAnsiTheme="minorHAnsi" w:cs="Times New Roman"/>
          <w:color w:val="auto"/>
        </w:rPr>
      </w:pPr>
      <w:r w:rsidRPr="000D45B3">
        <w:rPr>
          <w:rFonts w:asciiTheme="minorHAnsi" w:hAnsiTheme="minorHAnsi" w:cs="Times New Roman"/>
        </w:rPr>
        <w:t xml:space="preserve">« Autour d’un faux diplôme en faveur de l’abbaye Saint-Étienne de Strasbourg prétendument attribué à l’empereur Lothaire premier et daté de l’an 845 », </w:t>
      </w:r>
      <w:r w:rsidR="00B04AB8">
        <w:rPr>
          <w:rFonts w:asciiTheme="minorHAnsi" w:hAnsiTheme="minorHAnsi" w:cs="Times New Roman"/>
        </w:rPr>
        <w:t xml:space="preserve">in </w:t>
      </w:r>
      <w:r w:rsidRPr="000D45B3">
        <w:rPr>
          <w:rFonts w:asciiTheme="minorHAnsi" w:hAnsiTheme="minorHAnsi" w:cs="Times New Roman"/>
        </w:rPr>
        <w:t xml:space="preserve">Actes du Colloque </w:t>
      </w:r>
      <w:r w:rsidRPr="000D45B3">
        <w:rPr>
          <w:rFonts w:asciiTheme="minorHAnsi" w:hAnsiTheme="minorHAnsi" w:cs="Times New Roman"/>
          <w:i/>
          <w:color w:val="auto"/>
        </w:rPr>
        <w:t xml:space="preserve">« Le document et le monument – Études en hommage à Christian </w:t>
      </w:r>
      <w:proofErr w:type="spellStart"/>
      <w:r w:rsidRPr="000D45B3">
        <w:rPr>
          <w:rFonts w:asciiTheme="minorHAnsi" w:hAnsiTheme="minorHAnsi" w:cs="Times New Roman"/>
          <w:i/>
          <w:color w:val="auto"/>
        </w:rPr>
        <w:t>Wilsdorf</w:t>
      </w:r>
      <w:proofErr w:type="spellEnd"/>
      <w:r w:rsidRPr="000D45B3">
        <w:rPr>
          <w:rFonts w:asciiTheme="minorHAnsi" w:hAnsiTheme="minorHAnsi" w:cs="Times New Roman"/>
          <w:iCs/>
          <w:color w:val="auto"/>
        </w:rPr>
        <w:t xml:space="preserve"> </w:t>
      </w:r>
      <w:r w:rsidRPr="000D45B3">
        <w:rPr>
          <w:rFonts w:asciiTheme="minorHAnsi" w:hAnsiTheme="minorHAnsi" w:cs="Times New Roman"/>
          <w:i/>
          <w:color w:val="auto"/>
        </w:rPr>
        <w:t>»</w:t>
      </w:r>
      <w:r w:rsidRPr="000D45B3">
        <w:rPr>
          <w:rFonts w:asciiTheme="minorHAnsi" w:hAnsiTheme="minorHAnsi" w:cs="Times New Roman"/>
          <w:iCs/>
          <w:color w:val="auto"/>
        </w:rPr>
        <w:t>, Société Académique du Bas-Rhin (2023), 5 – 19</w:t>
      </w:r>
      <w:r w:rsidRPr="000D45B3">
        <w:rPr>
          <w:rFonts w:asciiTheme="minorHAnsi" w:hAnsiTheme="minorHAnsi" w:cs="Times New Roman"/>
          <w:iCs/>
          <w:color w:val="auto"/>
          <w:shd w:val="clear" w:color="auto" w:fill="FFFFFF"/>
          <w:lang w:eastAsia="he-IL" w:bidi="he-IL"/>
        </w:rPr>
        <w:t xml:space="preserve"> </w:t>
      </w:r>
    </w:p>
    <w:p w14:paraId="2E8AC882" w14:textId="5FEA049E" w:rsidR="00B04AB8" w:rsidRPr="00B04AB8" w:rsidRDefault="00B04AB8" w:rsidP="008F5C57">
      <w:pPr>
        <w:spacing w:after="0" w:line="276" w:lineRule="auto"/>
        <w:rPr>
          <w:rFonts w:cs="Times New Roman"/>
        </w:rPr>
      </w:pPr>
      <w:r w:rsidRPr="007E193A">
        <w:rPr>
          <w:rFonts w:eastAsia="Times New Roman" w:cs="Calibri"/>
          <w:i/>
          <w:iCs/>
        </w:rPr>
        <w:t>À paraître</w:t>
      </w:r>
      <w:r w:rsidRPr="00B04AB8">
        <w:rPr>
          <w:rFonts w:eastAsia="Times New Roman" w:cs="Calibri"/>
        </w:rPr>
        <w:t xml:space="preserve"> : </w:t>
      </w:r>
      <w:r>
        <w:rPr>
          <w:rFonts w:eastAsia="Times New Roman" w:cs="Calibri"/>
        </w:rPr>
        <w:t>« </w:t>
      </w:r>
      <w:r w:rsidRPr="00B04AB8">
        <w:rPr>
          <w:rFonts w:cs="Times New Roman"/>
        </w:rPr>
        <w:t>Le Comte Otton I</w:t>
      </w:r>
      <w:r w:rsidRPr="00B04AB8">
        <w:rPr>
          <w:rFonts w:cs="Times New Roman"/>
          <w:vertAlign w:val="superscript"/>
        </w:rPr>
        <w:t>er</w:t>
      </w:r>
      <w:r w:rsidRPr="00B04AB8">
        <w:rPr>
          <w:rFonts w:cs="Times New Roman"/>
        </w:rPr>
        <w:t xml:space="preserve"> </w:t>
      </w:r>
      <w:r w:rsidRPr="00B04AB8">
        <w:t>“</w:t>
      </w:r>
      <w:r>
        <w:rPr>
          <w:rFonts w:cs="Times New Roman"/>
        </w:rPr>
        <w:t>d</w:t>
      </w:r>
      <w:r w:rsidRPr="00B04AB8">
        <w:rPr>
          <w:rFonts w:cs="Times New Roman"/>
        </w:rPr>
        <w:t>e Habsbourg</w:t>
      </w:r>
      <w:r w:rsidRPr="00B04AB8">
        <w:t>”</w:t>
      </w:r>
      <w:r>
        <w:rPr>
          <w:rFonts w:cs="Times New Roman"/>
        </w:rPr>
        <w:t xml:space="preserve"> - </w:t>
      </w:r>
      <w:r w:rsidRPr="00B04AB8">
        <w:rPr>
          <w:rFonts w:cs="Times New Roman"/>
        </w:rPr>
        <w:t>Addenda possibles à la biographie parcimonieuse d’un Proto-Habsbourg</w:t>
      </w:r>
      <w:r>
        <w:rPr>
          <w:rFonts w:cs="Times New Roman"/>
        </w:rPr>
        <w:t xml:space="preserve"> », in </w:t>
      </w:r>
      <w:r w:rsidRPr="000D45B3">
        <w:rPr>
          <w:rFonts w:cs="Times New Roman"/>
        </w:rPr>
        <w:t>Actes du Colloque</w:t>
      </w:r>
      <w:r>
        <w:rPr>
          <w:rFonts w:cs="Times New Roman"/>
        </w:rPr>
        <w:t xml:space="preserve"> « Ensisheim et les Habsbourg » tenu le 15 – 16 novembre 2024 à Ensisheim.</w:t>
      </w:r>
    </w:p>
    <w:p w14:paraId="4DA4A130" w14:textId="1D3ADF19" w:rsidR="00B04AB8" w:rsidRPr="000D45B3" w:rsidRDefault="00B04AB8" w:rsidP="008F5C57">
      <w:pPr>
        <w:suppressAutoHyphens/>
        <w:spacing w:after="0" w:line="276" w:lineRule="auto"/>
        <w:rPr>
          <w:rFonts w:eastAsia="Times New Roman" w:cs="Calibri"/>
        </w:rPr>
      </w:pPr>
    </w:p>
    <w:p w14:paraId="6B931DFD" w14:textId="77777777" w:rsidR="000D45B3" w:rsidRPr="000D45B3" w:rsidRDefault="000D45B3" w:rsidP="008F5C57"/>
    <w:p w14:paraId="58F911B7" w14:textId="0121DF65" w:rsidR="007E193A" w:rsidRDefault="00E10BC0" w:rsidP="008F5C57">
      <w:pPr>
        <w:spacing w:before="240"/>
        <w:rPr>
          <w:lang w:val="de-DE"/>
        </w:rPr>
      </w:pPr>
      <w:proofErr w:type="spellStart"/>
      <w:r w:rsidRPr="00B04AB8">
        <w:rPr>
          <w:b/>
          <w:bCs/>
          <w:color w:val="FF0000"/>
          <w:lang w:val="de-DE"/>
        </w:rPr>
        <w:t>Notices</w:t>
      </w:r>
      <w:proofErr w:type="spellEnd"/>
      <w:r w:rsidRPr="00B04AB8">
        <w:rPr>
          <w:b/>
          <w:bCs/>
          <w:color w:val="FF0000"/>
          <w:lang w:val="de-DE"/>
        </w:rPr>
        <w:t xml:space="preserve"> </w:t>
      </w:r>
      <w:proofErr w:type="spellStart"/>
      <w:r w:rsidRPr="00B04AB8">
        <w:rPr>
          <w:b/>
          <w:bCs/>
          <w:color w:val="FF0000"/>
          <w:lang w:val="de-DE"/>
        </w:rPr>
        <w:t>biographiques</w:t>
      </w:r>
      <w:proofErr w:type="spellEnd"/>
    </w:p>
    <w:p w14:paraId="5CDCE9A4" w14:textId="74AAD6A3" w:rsidR="00E10BC0" w:rsidRPr="007E193A" w:rsidRDefault="00E10BC0" w:rsidP="008F5C57">
      <w:pPr>
        <w:spacing w:before="240"/>
        <w:rPr>
          <w:b/>
          <w:bCs/>
          <w:color w:val="FF0000"/>
          <w:lang w:val="de-DE"/>
        </w:rPr>
      </w:pPr>
      <w:r w:rsidRPr="00BA45CA">
        <w:rPr>
          <w:lang w:val="de-DE"/>
        </w:rPr>
        <w:t xml:space="preserve">Victor (= Victor </w:t>
      </w:r>
      <w:proofErr w:type="spellStart"/>
      <w:r w:rsidRPr="00BA45CA">
        <w:rPr>
          <w:lang w:val="de-DE"/>
        </w:rPr>
        <w:t>Retianus</w:t>
      </w:r>
      <w:proofErr w:type="spellEnd"/>
      <w:r w:rsidRPr="00BA45CA">
        <w:rPr>
          <w:lang w:val="de-DE"/>
        </w:rPr>
        <w:t xml:space="preserve">), Mönch in St. Gallen († nach 991), </w:t>
      </w:r>
      <w:r w:rsidRPr="007E193A">
        <w:rPr>
          <w:i/>
          <w:iCs/>
          <w:lang w:val="de-DE"/>
        </w:rPr>
        <w:t>Biographisch-Bibliographisches Kirchenlexikon</w:t>
      </w:r>
      <w:r w:rsidRPr="00BA45CA">
        <w:rPr>
          <w:lang w:val="de-DE"/>
        </w:rPr>
        <w:t>, Band XXVIII, Spalten 1548 – 1549 (2007)</w:t>
      </w:r>
    </w:p>
    <w:p w14:paraId="21FC247A" w14:textId="77777777" w:rsidR="00E10BC0" w:rsidRPr="00BA45CA" w:rsidRDefault="00E10BC0" w:rsidP="008F5C57">
      <w:pPr>
        <w:rPr>
          <w:lang w:val="de-DE"/>
        </w:rPr>
      </w:pPr>
      <w:proofErr w:type="spellStart"/>
      <w:r w:rsidRPr="00BA45CA">
        <w:rPr>
          <w:lang w:val="de-DE"/>
        </w:rPr>
        <w:t>Ymmo</w:t>
      </w:r>
      <w:proofErr w:type="spellEnd"/>
      <w:r w:rsidRPr="00BA45CA">
        <w:rPr>
          <w:lang w:val="de-DE"/>
        </w:rPr>
        <w:t xml:space="preserve"> (Immo), Abt von Münster im </w:t>
      </w:r>
      <w:proofErr w:type="spellStart"/>
      <w:r w:rsidRPr="00BA45CA">
        <w:rPr>
          <w:lang w:val="de-DE"/>
        </w:rPr>
        <w:t>Gregoriental</w:t>
      </w:r>
      <w:proofErr w:type="spellEnd"/>
      <w:r w:rsidRPr="00BA45CA">
        <w:rPr>
          <w:lang w:val="de-DE"/>
        </w:rPr>
        <w:t xml:space="preserve"> (11. Jahrhundert), </w:t>
      </w:r>
      <w:r w:rsidRPr="007E193A">
        <w:rPr>
          <w:i/>
          <w:iCs/>
          <w:lang w:val="de-DE"/>
        </w:rPr>
        <w:t>Biographisch-Bibliographisches Kirchenlexikon</w:t>
      </w:r>
      <w:r w:rsidRPr="00BA45CA">
        <w:rPr>
          <w:lang w:val="de-DE"/>
        </w:rPr>
        <w:t>, Band XXIX, Spalten 1579-1582 (2008)</w:t>
      </w:r>
    </w:p>
    <w:p w14:paraId="294E0B5F" w14:textId="77777777" w:rsidR="008F5777" w:rsidRPr="00BA45CA" w:rsidRDefault="008F5777" w:rsidP="008F5C57">
      <w:pPr>
        <w:rPr>
          <w:lang w:val="de-DE"/>
        </w:rPr>
      </w:pPr>
    </w:p>
    <w:sectPr w:rsidR="008F5777" w:rsidRPr="00BA45CA" w:rsidSect="00414081">
      <w:pgSz w:w="11901" w:h="16840"/>
      <w:pgMar w:top="737" w:right="737" w:bottom="794" w:left="964" w:header="1418" w:footer="141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D48"/>
    <w:multiLevelType w:val="hybridMultilevel"/>
    <w:tmpl w:val="7C0AE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79B"/>
    <w:multiLevelType w:val="hybridMultilevel"/>
    <w:tmpl w:val="BAB4F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17EA"/>
    <w:multiLevelType w:val="hybridMultilevel"/>
    <w:tmpl w:val="4850901A"/>
    <w:lvl w:ilvl="0" w:tplc="1608A74C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39C8"/>
    <w:multiLevelType w:val="hybridMultilevel"/>
    <w:tmpl w:val="D9263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0852"/>
    <w:multiLevelType w:val="hybridMultilevel"/>
    <w:tmpl w:val="F028B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9093A"/>
    <w:multiLevelType w:val="hybridMultilevel"/>
    <w:tmpl w:val="69AC8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1612">
    <w:abstractNumId w:val="2"/>
  </w:num>
  <w:num w:numId="2" w16cid:durableId="864097915">
    <w:abstractNumId w:val="0"/>
  </w:num>
  <w:num w:numId="3" w16cid:durableId="630064150">
    <w:abstractNumId w:val="3"/>
  </w:num>
  <w:num w:numId="4" w16cid:durableId="2095853651">
    <w:abstractNumId w:val="5"/>
  </w:num>
  <w:num w:numId="5" w16cid:durableId="1260213291">
    <w:abstractNumId w:val="4"/>
  </w:num>
  <w:num w:numId="6" w16cid:durableId="180755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C0"/>
    <w:rsid w:val="000D45B3"/>
    <w:rsid w:val="001831E7"/>
    <w:rsid w:val="001D137E"/>
    <w:rsid w:val="00347EC7"/>
    <w:rsid w:val="00414081"/>
    <w:rsid w:val="004A7E08"/>
    <w:rsid w:val="004E5BC6"/>
    <w:rsid w:val="00620516"/>
    <w:rsid w:val="007C00AE"/>
    <w:rsid w:val="007E193A"/>
    <w:rsid w:val="008F5777"/>
    <w:rsid w:val="008F5C57"/>
    <w:rsid w:val="00B04AB8"/>
    <w:rsid w:val="00BA45CA"/>
    <w:rsid w:val="00E1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8177"/>
  <w15:chartTrackingRefBased/>
  <w15:docId w15:val="{09656984-D60A-5148-BF7F-29512CBF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0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0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0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0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0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B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B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0B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0B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0B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0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0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0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0B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0B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0B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0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0B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0BC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45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1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Hirlimann</dc:creator>
  <cp:keywords/>
  <dc:description/>
  <cp:lastModifiedBy>Charles Hirlimann</cp:lastModifiedBy>
  <cp:revision>2</cp:revision>
  <dcterms:created xsi:type="dcterms:W3CDTF">2025-05-09T15:04:00Z</dcterms:created>
  <dcterms:modified xsi:type="dcterms:W3CDTF">2025-05-09T15:04:00Z</dcterms:modified>
</cp:coreProperties>
</file>