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 xml:space="preserve"> </w:t>
      </w:r>
    </w:p>
    <w:tbl>
      <w:tblPr>
        <w:tblStyle w:val="Table1"/>
        <w:tblW w:w="407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36"/>
        <w:gridCol w:w="1242"/>
        <w:tblGridChange w:id="0">
          <w:tblGrid>
            <w:gridCol w:w="2836"/>
            <w:gridCol w:w="12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Hélène BRAEUNER</w:t>
              <w:tab/>
            </w:r>
          </w:p>
          <w:p w:rsidR="00000000" w:rsidDel="00000000" w:rsidP="00000000" w:rsidRDefault="00000000" w:rsidRPr="00000000" w14:paraId="0000000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</w:r>
    </w:p>
    <w:p w:rsidR="00000000" w:rsidDel="00000000" w:rsidP="00000000" w:rsidRDefault="00000000" w:rsidRPr="00000000" w14:paraId="00000006">
      <w:pPr>
        <w:widowControl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Parcours professionnel</w:t>
      </w:r>
    </w:p>
    <w:p w:rsidR="00000000" w:rsidDel="00000000" w:rsidP="00000000" w:rsidRDefault="00000000" w:rsidRPr="00000000" w14:paraId="00000008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left="1276" w:hanging="127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Nov 2022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Directrice de la communication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Communauté d’Agglomération de Haguenau</w:t>
      </w:r>
    </w:p>
    <w:p w:rsidR="00000000" w:rsidDel="00000000" w:rsidP="00000000" w:rsidRDefault="00000000" w:rsidRPr="00000000" w14:paraId="0000000A">
      <w:pPr>
        <w:widowControl w:val="0"/>
        <w:ind w:left="1276" w:hanging="127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2020-2022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Responsable communication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Hôpitaux Universitaires de Strasbourg</w:t>
      </w:r>
    </w:p>
    <w:p w:rsidR="00000000" w:rsidDel="00000000" w:rsidP="00000000" w:rsidRDefault="00000000" w:rsidRPr="00000000" w14:paraId="0000000B">
      <w:pPr>
        <w:widowControl w:val="0"/>
        <w:ind w:left="1276" w:hanging="127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2019-2020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Cheffe de cabinet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Mairie d’Illkirch-Graffenstaden </w:t>
      </w:r>
    </w:p>
    <w:p w:rsidR="00000000" w:rsidDel="00000000" w:rsidP="00000000" w:rsidRDefault="00000000" w:rsidRPr="00000000" w14:paraId="0000000C">
      <w:pPr>
        <w:widowControl w:val="0"/>
        <w:ind w:left="1276" w:hanging="127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2012-2018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Responsable éditoriale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indépendante pour la communication et l’édition :</w:t>
      </w:r>
    </w:p>
    <w:p w:rsidR="00000000" w:rsidDel="00000000" w:rsidP="00000000" w:rsidRDefault="00000000" w:rsidRPr="00000000" w14:paraId="0000000D">
      <w:pPr>
        <w:widowControl w:val="0"/>
        <w:ind w:left="127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Ville de Reims, Ville de Saint-Louis, Fondation de l’Université Strasbourg et des Hôpitaux Universitaires de Strasbourg, Musée Unterlinden de Colmar, ÉS Collectivités territoriales, Siemens Haguenau, Editions du Belvédère, Editions Baobab, Hager, Socomec, Maison Spindler…</w:t>
      </w:r>
    </w:p>
    <w:p w:rsidR="00000000" w:rsidDel="00000000" w:rsidP="00000000" w:rsidRDefault="00000000" w:rsidRPr="00000000" w14:paraId="0000000E">
      <w:pPr>
        <w:widowControl w:val="0"/>
        <w:ind w:left="1276" w:hanging="1276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2001- 2012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Chargée de valorisation et de conservation de collections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(Musée Unterlinden de Colmar, Musée historique de Mulhouse, Musée d’Orsay, Musée Boucher-de-Perthes à Abbeville…) et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enseignant-chercheur,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UR ARCHE, Université de Strasbourg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Parcours universitaire</w:t>
      </w:r>
    </w:p>
    <w:p w:rsidR="00000000" w:rsidDel="00000000" w:rsidP="00000000" w:rsidRDefault="00000000" w:rsidRPr="00000000" w14:paraId="00000011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left="1276" w:hanging="127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2020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Prix Durand-Réville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Académie des Sciences d’Outre-Mer</w:t>
      </w:r>
    </w:p>
    <w:p w:rsidR="00000000" w:rsidDel="00000000" w:rsidP="00000000" w:rsidRDefault="00000000" w:rsidRPr="00000000" w14:paraId="00000013">
      <w:pPr>
        <w:widowControl w:val="0"/>
        <w:ind w:left="1276" w:hanging="127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2017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Prix Jean-Edouard Goby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Académie des Inscriptions et Belles-Lettres  </w:t>
      </w:r>
    </w:p>
    <w:p w:rsidR="00000000" w:rsidDel="00000000" w:rsidP="00000000" w:rsidRDefault="00000000" w:rsidRPr="00000000" w14:paraId="00000014">
      <w:pPr>
        <w:widowControl w:val="0"/>
        <w:ind w:left="1276" w:hanging="127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2015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Thèse de doctorat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 histoire de l’art, Université de Strasbourg, mention très honorable avec les félicitations du jury. Qualification aux fonctions de maître de conférences en histoire de l’art (2017). </w:t>
      </w:r>
    </w:p>
    <w:p w:rsidR="00000000" w:rsidDel="00000000" w:rsidP="00000000" w:rsidRDefault="00000000" w:rsidRPr="00000000" w14:paraId="00000015">
      <w:pPr>
        <w:widowControl w:val="0"/>
        <w:ind w:left="1276" w:hanging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2007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Master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histoire de l’art et architecture, Université de Strasbourg</w:t>
      </w:r>
    </w:p>
    <w:p w:rsidR="00000000" w:rsidDel="00000000" w:rsidP="00000000" w:rsidRDefault="00000000" w:rsidRPr="00000000" w14:paraId="00000016">
      <w:pPr>
        <w:widowControl w:val="0"/>
        <w:ind w:left="1276" w:hanging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2003-2005 </w:t>
        <w:tab/>
        <w:t xml:space="preserve">Concours du patrimoine à l’Ecole du Louvre et l’Université Paris IV, Paris. </w:t>
      </w:r>
    </w:p>
    <w:p w:rsidR="00000000" w:rsidDel="00000000" w:rsidP="00000000" w:rsidRDefault="00000000" w:rsidRPr="00000000" w14:paraId="00000017">
      <w:pPr>
        <w:widowControl w:val="0"/>
        <w:ind w:left="1276" w:hanging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2002-2003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Maîtrise et Licence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d’histoire de l’art, mention bien, Université de Strasbourg</w:t>
      </w:r>
    </w:p>
    <w:p w:rsidR="00000000" w:rsidDel="00000000" w:rsidP="00000000" w:rsidRDefault="00000000" w:rsidRPr="00000000" w14:paraId="00000018">
      <w:pPr>
        <w:widowControl w:val="0"/>
        <w:ind w:left="1276" w:hanging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2000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Maîtrise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muséologie scientifique et technique, Université de Haute Alsace, Mulhouse</w:t>
      </w:r>
    </w:p>
    <w:p w:rsidR="00000000" w:rsidDel="00000000" w:rsidP="00000000" w:rsidRDefault="00000000" w:rsidRPr="00000000" w14:paraId="00000019">
      <w:pPr>
        <w:ind w:left="1276" w:hanging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1997-1999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Licence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d’Histoire, Université de Haute Alsace, Mulhouse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Publications (liste non exhaustive)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Les images du canal de Suez : une autre vision de l’Orient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collection Thèse illustrée, Paris, Editions Mare &amp; Martin, 2019.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Hansi, la force de création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introduction de G. Braeuner, éditions Baobab, Colmar, 2017.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Notices pour le catalogue d’exposition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L’Alsace pittoresque, l’invention d’un paysage (1770-1870)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musée Unterlinden, Colmar, éditions Hazan, 2011.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 La double formation artistique des peintres alsaciens »,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Saisons d’Alsace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n°45, septembre 2010.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 Lumières impressionnistes sur l’Alsace »,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Saisons d’Alsace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n°24, automne 2004. 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Les Peintres et l’Alsace,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autour de l’Impressionnisme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préface de Victor Beyer, éditions La Renaissance du Livre, Tournai, 2003.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Victor Hugo, récits et dessins de voyage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éditions La Renaissance du Livre, Tournai, 2001.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Les peintres de la Baie de Somme, autour de l’Impressionnisme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éditions La Renaissance du Livre, Tournai, 2001.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Louis Braquaval (1854-1919), un peintre impressionniste en Picardie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Abbeville, musée Boucher-de-Perthes, 2000.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27">
      <w:pPr>
        <w:ind w:left="1276" w:hanging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276" w:hanging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1276" w:hanging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276" w:hanging="1276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Engagements associatifs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276" w:hanging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Dep. 2020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Membre de l’Académie d’Alsace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276" w:hanging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Dep. 2019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Représentante des parents délégués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section APEPA pour l’Ecole des Quinze, Strasbourg</w:t>
      </w:r>
    </w:p>
    <w:p w:rsidR="00000000" w:rsidDel="00000000" w:rsidP="00000000" w:rsidRDefault="00000000" w:rsidRPr="00000000" w14:paraId="0000002E">
      <w:pPr>
        <w:ind w:left="1276" w:hanging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Dep. 2018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Administratrice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l’association Souvenir de Ferdinand de Lesseps et du canal de Suez, Paris</w:t>
      </w:r>
    </w:p>
    <w:p w:rsidR="00000000" w:rsidDel="00000000" w:rsidP="00000000" w:rsidRDefault="00000000" w:rsidRPr="00000000" w14:paraId="0000002F">
      <w:pPr>
        <w:ind w:left="1276" w:hanging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Dep. 2017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Membre chercheur associé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l’Unité de Recherche ARCHE (Arts, civilisations et histoire de l’Europe) de l’Université de Strasbourg </w:t>
      </w:r>
    </w:p>
    <w:p w:rsidR="00000000" w:rsidDel="00000000" w:rsidP="00000000" w:rsidRDefault="00000000" w:rsidRPr="00000000" w14:paraId="00000030">
      <w:pPr>
        <w:ind w:left="1276" w:hanging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Dep. 2015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Membre du groupe folk BACKYARD FOLK CLUB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(chant, harmonica, percussions), production des albums, création et tournages des clips 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www.backyardfolkclub.com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1276" w:hanging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Dep. 2009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Membre du groupe folk-rock GRAND MARCH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(chant), production des 4 albums disponibles sur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www.grandmarch.fr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et de l’association Headlight : Promotion, management, développement artistique.</w:t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backyardfolkclub.com" TargetMode="External"/><Relationship Id="rId7" Type="http://schemas.openxmlformats.org/officeDocument/2006/relationships/hyperlink" Target="http://www.grandmarch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